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CB70" w14:textId="7771D693"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  <w:r w:rsidR="00271255">
        <w:rPr>
          <w:b w:val="0"/>
          <w:sz w:val="24"/>
          <w:szCs w:val="24"/>
        </w:rPr>
        <w:t xml:space="preserve"> 00</w:t>
      </w:r>
      <w:r w:rsidR="00364583">
        <w:rPr>
          <w:b w:val="0"/>
          <w:sz w:val="24"/>
          <w:szCs w:val="24"/>
        </w:rPr>
        <w:t>4</w:t>
      </w:r>
    </w:p>
    <w:p w14:paraId="2E6F7EAD" w14:textId="77777777"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14:paraId="065B7769" w14:textId="77777777"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14:paraId="7E00B256" w14:textId="77777777"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14:paraId="7BC67A1C" w14:textId="77777777"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14:paraId="08478188" w14:textId="77777777"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научн.рук</w:t>
      </w:r>
      <w:proofErr w:type="spellEnd"/>
      <w:r w:rsidR="000C2D31" w:rsidRPr="00B262B0">
        <w:rPr>
          <w:highlight w:val="yellow"/>
        </w:rPr>
        <w:t>.)</w:t>
      </w:r>
    </w:p>
    <w:p w14:paraId="3A40ED89" w14:textId="3C37A6B3"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</w:t>
      </w:r>
      <w:r w:rsidR="00041363">
        <w:rPr>
          <w:spacing w:val="-2"/>
        </w:rPr>
        <w:t>– от 50 до</w:t>
      </w:r>
      <w:r>
        <w:rPr>
          <w:spacing w:val="-2"/>
        </w:rPr>
        <w:t xml:space="preserve">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14:paraId="67E58446" w14:textId="7D1AD800"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</w:t>
      </w:r>
      <w:r w:rsidR="00041363">
        <w:rPr>
          <w:spacing w:val="-2"/>
        </w:rPr>
        <w:t>–</w:t>
      </w:r>
      <w:r>
        <w:rPr>
          <w:spacing w:val="-2"/>
        </w:rPr>
        <w:t xml:space="preserve"> </w:t>
      </w:r>
      <w:r w:rsidR="00041363">
        <w:rPr>
          <w:spacing w:val="-2"/>
        </w:rPr>
        <w:t xml:space="preserve">от 5 до 20 </w:t>
      </w:r>
      <w:r>
        <w:rPr>
          <w:spacing w:val="-2"/>
        </w:rPr>
        <w:t xml:space="preserve">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14:paraId="6B1053A9" w14:textId="2549AA10"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14:paraId="6C665940" w14:textId="77777777"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14:paraId="2D7AEAF5" w14:textId="77777777"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5F947279" w14:textId="77777777"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CF87202" w14:textId="77777777"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14:paraId="423A9FB4" w14:textId="77777777"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14:paraId="5E0D8239" w14:textId="77777777"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>где Ме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14:paraId="4749A9A3" w14:textId="77777777"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14:paraId="6FFD9F63" w14:textId="77777777" w:rsidR="00C25B60" w:rsidRDefault="00C25B60" w:rsidP="00906712">
      <w:pPr>
        <w:pStyle w:val="-7"/>
      </w:pPr>
    </w:p>
    <w:p w14:paraId="6FD89C9C" w14:textId="77777777"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03BAB706" wp14:editId="2D0C204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126B" w14:textId="77777777"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14:paraId="7EB8758C" w14:textId="77777777"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14:paraId="05828488" w14:textId="77777777"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назв.таблицы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14:paraId="591A4DC4" w14:textId="77777777" w:rsidTr="00B262B0">
        <w:tc>
          <w:tcPr>
            <w:tcW w:w="1604" w:type="dxa"/>
          </w:tcPr>
          <w:p w14:paraId="7B2314DE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14:paraId="0BE48316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14:paraId="58858EF9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14:paraId="16CAD833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7ED4EC06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96F97AB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14:paraId="72B6A0DB" w14:textId="77777777" w:rsidTr="00B262B0">
        <w:tc>
          <w:tcPr>
            <w:tcW w:w="1604" w:type="dxa"/>
          </w:tcPr>
          <w:p w14:paraId="61263F74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135D2A86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14:paraId="783500F0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2471E21D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3FFC2DCE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14:paraId="48760550" w14:textId="77777777"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14:paraId="6345E6BF" w14:textId="77777777" w:rsidR="00B262B0" w:rsidRPr="00B262B0" w:rsidRDefault="00B262B0" w:rsidP="00AC1988">
      <w:pPr>
        <w:pStyle w:val="-7"/>
        <w:rPr>
          <w:shd w:val="clear" w:color="auto" w:fill="FFFFFF"/>
        </w:rPr>
      </w:pPr>
    </w:p>
    <w:p w14:paraId="0BB20A87" w14:textId="77777777"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gov</w:t>
      </w:r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14:paraId="484A880D" w14:textId="77777777" w:rsidR="00906712" w:rsidRDefault="00906712" w:rsidP="0005084C">
      <w:pPr>
        <w:pStyle w:val="-7"/>
      </w:pPr>
    </w:p>
    <w:p w14:paraId="6E523E99" w14:textId="77777777"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14:paraId="643878A7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14:paraId="65798F49" w14:textId="77777777"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 xml:space="preserve">: учеб. пособие / Ю.Д. Третьяков, В.И. </w:t>
      </w:r>
      <w:proofErr w:type="spellStart"/>
      <w:r w:rsidRPr="00374710">
        <w:rPr>
          <w:lang w:val="ru-RU"/>
        </w:rPr>
        <w:t>Путляев</w:t>
      </w:r>
      <w:proofErr w:type="spellEnd"/>
      <w:r w:rsidRPr="00374710">
        <w:rPr>
          <w:lang w:val="ru-RU"/>
        </w:rPr>
        <w:t xml:space="preserve">. – М. : Изд-во </w:t>
      </w:r>
      <w:proofErr w:type="spellStart"/>
      <w:r w:rsidRPr="00374710">
        <w:rPr>
          <w:lang w:val="ru-RU"/>
        </w:rPr>
        <w:t>Моск</w:t>
      </w:r>
      <w:proofErr w:type="spellEnd"/>
      <w:r w:rsidRPr="00374710">
        <w:rPr>
          <w:lang w:val="ru-RU"/>
        </w:rPr>
        <w:t>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14:paraId="037ABD96" w14:textId="77777777"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14:paraId="16C7E3B5" w14:textId="77777777" w:rsidR="00D226CE" w:rsidRDefault="00D226CE" w:rsidP="00AC1988">
      <w:pPr>
        <w:pStyle w:val="-a"/>
        <w:rPr>
          <w:lang w:val="ru-RU"/>
        </w:rPr>
      </w:pPr>
    </w:p>
    <w:p w14:paraId="0D7763C9" w14:textId="77777777"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14:paraId="383BBF02" w14:textId="77777777"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14:paraId="671B70EA" w14:textId="24809CED" w:rsidR="00512F2F" w:rsidRPr="00364583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  <w:r w:rsidR="00364583" w:rsidRPr="00364583">
        <w:rPr>
          <w:b w:val="0"/>
          <w:sz w:val="24"/>
          <w:szCs w:val="24"/>
          <w:lang w:val="en-US"/>
        </w:rPr>
        <w:t xml:space="preserve"> 004</w:t>
      </w:r>
    </w:p>
    <w:p w14:paraId="22C79BE6" w14:textId="77777777"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14:paraId="5EB486B1" w14:textId="77777777"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14:paraId="4EA020B9" w14:textId="5E1AF9D5"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</w:t>
      </w:r>
      <w:r w:rsidR="00025951">
        <w:rPr>
          <w:lang w:val="en-US"/>
        </w:rPr>
        <w:br/>
      </w:r>
      <w:r>
        <w:rPr>
          <w:lang w:val="en-US"/>
        </w:rPr>
        <w:t xml:space="preserve">Minsk, </w:t>
      </w:r>
      <w:r w:rsidRPr="00D226CE">
        <w:rPr>
          <w:lang w:val="en-US"/>
        </w:rPr>
        <w:t>Republic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14:paraId="70142CAD" w14:textId="77777777"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14:paraId="5102D006" w14:textId="77777777"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14:paraId="73F354A9" w14:textId="259B8D4E"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</w:t>
      </w:r>
      <w:r w:rsidR="00391239" w:rsidRPr="00271255">
        <w:rPr>
          <w:spacing w:val="-2"/>
          <w:lang w:val="en-US"/>
        </w:rPr>
        <w:t>2</w:t>
      </w:r>
      <w:r w:rsidRPr="00064EC1">
        <w:rPr>
          <w:spacing w:val="-2"/>
          <w:lang w:val="en-US"/>
        </w:rPr>
        <w:t xml:space="preserve">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14:paraId="5903D978" w14:textId="77777777" w:rsidR="006A2CB2" w:rsidRDefault="006A2CB2" w:rsidP="00D226CE">
      <w:pPr>
        <w:pStyle w:val="-9"/>
        <w:rPr>
          <w:spacing w:val="-2"/>
        </w:rPr>
      </w:pPr>
    </w:p>
    <w:sectPr w:rsidR="006A2CB2" w:rsidSect="008A5DCD">
      <w:headerReference w:type="default" r:id="rId8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052F" w14:textId="77777777" w:rsidR="00377425" w:rsidRDefault="00377425" w:rsidP="008A5DCD">
      <w:pPr>
        <w:spacing w:line="240" w:lineRule="auto"/>
      </w:pPr>
      <w:r>
        <w:separator/>
      </w:r>
    </w:p>
  </w:endnote>
  <w:endnote w:type="continuationSeparator" w:id="0">
    <w:p w14:paraId="18AE4CE7" w14:textId="77777777" w:rsidR="00377425" w:rsidRDefault="00377425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0A94F" w14:textId="77777777" w:rsidR="00377425" w:rsidRDefault="00377425" w:rsidP="008A5DCD">
      <w:pPr>
        <w:spacing w:line="240" w:lineRule="auto"/>
      </w:pPr>
      <w:r>
        <w:separator/>
      </w:r>
    </w:p>
  </w:footnote>
  <w:footnote w:type="continuationSeparator" w:id="0">
    <w:p w14:paraId="52C8F56D" w14:textId="77777777" w:rsidR="00377425" w:rsidRDefault="00377425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7B27D" w14:textId="5A500AA9" w:rsidR="00A119D3" w:rsidRPr="008A5DCD" w:rsidRDefault="00041363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A119D3" w:rsidRPr="008A5DCD">
      <w:rPr>
        <w:rFonts w:ascii="Arial" w:hAnsi="Arial" w:cs="Arial"/>
        <w:i/>
        <w:sz w:val="20"/>
        <w:szCs w:val="20"/>
      </w:rPr>
      <w:t xml:space="preserve">-я </w:t>
    </w:r>
    <w:r w:rsidRPr="008A5DCD">
      <w:rPr>
        <w:rFonts w:ascii="Arial" w:hAnsi="Arial" w:cs="Arial"/>
        <w:i/>
        <w:sz w:val="20"/>
        <w:szCs w:val="20"/>
      </w:rPr>
      <w:t xml:space="preserve">научная конференция аспирантов, магистрантов и студентов </w:t>
    </w:r>
    <w:r w:rsidR="00A119D3" w:rsidRPr="008A5DCD">
      <w:rPr>
        <w:rFonts w:ascii="Arial" w:hAnsi="Arial" w:cs="Arial"/>
        <w:i/>
        <w:sz w:val="20"/>
        <w:szCs w:val="20"/>
      </w:rPr>
      <w:t>БГУИР</w:t>
    </w:r>
    <w:r w:rsidR="00A119D3">
      <w:rPr>
        <w:rFonts w:ascii="Arial" w:hAnsi="Arial" w:cs="Arial"/>
        <w:i/>
        <w:sz w:val="20"/>
        <w:szCs w:val="20"/>
      </w:rPr>
      <w:t>, Минск, 202</w:t>
    </w:r>
    <w:r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712"/>
    <w:rsid w:val="00016714"/>
    <w:rsid w:val="00025951"/>
    <w:rsid w:val="00041363"/>
    <w:rsid w:val="0005084C"/>
    <w:rsid w:val="00064EC1"/>
    <w:rsid w:val="000C2D31"/>
    <w:rsid w:val="001B53D6"/>
    <w:rsid w:val="001C0F32"/>
    <w:rsid w:val="00237D78"/>
    <w:rsid w:val="00271255"/>
    <w:rsid w:val="002B474C"/>
    <w:rsid w:val="002C6F75"/>
    <w:rsid w:val="00325ED5"/>
    <w:rsid w:val="00332D24"/>
    <w:rsid w:val="00364583"/>
    <w:rsid w:val="00374710"/>
    <w:rsid w:val="00377425"/>
    <w:rsid w:val="00391239"/>
    <w:rsid w:val="003F04BE"/>
    <w:rsid w:val="00426103"/>
    <w:rsid w:val="00512F2F"/>
    <w:rsid w:val="00580E36"/>
    <w:rsid w:val="005A45E6"/>
    <w:rsid w:val="00690066"/>
    <w:rsid w:val="006A2CB2"/>
    <w:rsid w:val="006C09A6"/>
    <w:rsid w:val="007E2E9E"/>
    <w:rsid w:val="008A5DCD"/>
    <w:rsid w:val="00906712"/>
    <w:rsid w:val="009745FC"/>
    <w:rsid w:val="00A060DF"/>
    <w:rsid w:val="00A119D3"/>
    <w:rsid w:val="00AC1988"/>
    <w:rsid w:val="00AE49E5"/>
    <w:rsid w:val="00B262B0"/>
    <w:rsid w:val="00BB6AD0"/>
    <w:rsid w:val="00C23679"/>
    <w:rsid w:val="00C25B60"/>
    <w:rsid w:val="00C4013D"/>
    <w:rsid w:val="00D226CE"/>
    <w:rsid w:val="00D6476F"/>
    <w:rsid w:val="00D8409D"/>
    <w:rsid w:val="00DA46FB"/>
    <w:rsid w:val="00DB5221"/>
    <w:rsid w:val="00DC3E00"/>
    <w:rsid w:val="00FA4500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13DD7E"/>
  <w15:docId w15:val="{5244D8A1-6D2D-41DF-ABF9-2E0CA379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ССН</dc:creator>
  <cp:lastModifiedBy>Антон Парамонов</cp:lastModifiedBy>
  <cp:revision>11</cp:revision>
  <cp:lastPrinted>2021-02-08T12:22:00Z</cp:lastPrinted>
  <dcterms:created xsi:type="dcterms:W3CDTF">2022-03-11T08:10:00Z</dcterms:created>
  <dcterms:modified xsi:type="dcterms:W3CDTF">2024-01-15T11:49:00Z</dcterms:modified>
</cp:coreProperties>
</file>